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 zur Ausführung von Schürfarbeiten fremden Grund und Boden benutzen will, hat hierzu die Erlaubnis des Grundbesitzers nachzusuchen.</w:t>
      </w:r>
    </w:p>
    <w:p>
      <w:r>
        <w:t xml:space="preserve">(2) Mit Ausnahme der im § 4 bezeichneten Fälle muß der Grundbesitzer, er sei Eigentümer oder Nutzungsberechtigter, das Schürfen auf seinem Grund und Boden gestatten.</w:t>
      </w:r>
    </w:p>
    <w:p>
      <w:r>
        <w:rPr>
          <w:color w:val="555555"/>
          <w:sz w:val="17"/>
        </w:rPr>
        <w:t xml:space="preserve">Zitiervorschlag: § 5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