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Statt diese Klage zu erheben, können die vorbezeichneten Gläubiger und anderen Realberechtigten ihre Befriedigung vor der Verfallzeit verlangen, soweit dies die Natur des gesicherten Anspruchs gestattet.</w:t>
      </w:r>
    </w:p>
    <w:p>
      <w:r>
        <w:t xml:space="preserve">(2) Dieses Recht muß jedoch ebenfalls zur Vermeidung seines Verlustes innerhalb der im § 46 bestimmten Frist geltend gemacht werden.</w:t>
      </w:r>
    </w:p>
    <w:p>
      <w:r>
        <w:rPr>
          <w:color w:val="555555"/>
          <w:sz w:val="17"/>
        </w:rPr>
        <w:t xml:space="preserve">Zitiervorschlag: § 47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