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wesentliche Inhalt des Konsolidationsaktes, insbesondere die Bestimmung des Anteilsverhältnisses (§ 44), wird durch das Oberbergamt den aus dem Grundbuch ersichtlichen Hypothekengläubigern und anderen Realberechtigten, sofern deren ausdrückliches Einverständnis mit dem Anteilsverhältnisse nicht beigebracht ist, unter Verweisung auf diesen und die beiden folgenden Paragraphen bekannt gemacht.</w:t>
      </w:r>
    </w:p>
    <w:p>
      <w:r>
        <w:t xml:space="preserve">(2) Außerdem erfolgt diese Bekanntmachung durch das Amtsblatt der Regierung, in deren Bezirk das Bergwerk liegt.</w:t>
      </w:r>
    </w:p>
    <w:p>
      <w:r>
        <w:rPr>
          <w:color w:val="555555"/>
          <w:sz w:val="17"/>
        </w:rPr>
        <w:t xml:space="preserve">Zitiervorschlag: § 45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