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Konsolidation ist erforderlich:</w:t>
      </w:r>
    </w:p>
    <w:p>
      <w:r>
        <w:t xml:space="preserve">1. ein notariell oder gerichtlich beurkundeter Konsolidationsakt - je nach Beschaffenheit des Falles ein Vertrag oder Beschluß der Mitbeteiligten oder eine Erklärung des Alleineigentümers,</w:t>
      </w:r>
    </w:p>
    <w:p>
      <w:r>
        <w:t xml:space="preserve">2. ein von einem konzessionierten Markscheider oder öffentlich bestellten Vermessungsingenieur in zwei Exemplaren angefertigter Situationsriß des ganzen Feldes,</w:t>
      </w:r>
    </w:p>
    <w:p>
      <w:r>
        <w:t xml:space="preserve">3. die Angabe des dem konsolidierten Bergwerke beigelegten Namens.</w:t>
      </w:r>
    </w:p>
    <w:p>
      <w:r>
        <w:rPr>
          <w:color w:val="555555"/>
          <w:sz w:val="17"/>
        </w:rPr>
        <w:t xml:space="preserve">Zitiervorschlag: § 42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