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NW_26481 (Nordrhein-Westfalen)</w:t>
      </w:r>
    </w:p>
    <w:p>
      <w:r>
        <w:rPr>
          <w:color w:val="555555"/>
          <w:sz w:val="18"/>
        </w:rPr>
        <w:t xml:space="preserve">Allgemeines Berggesetz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 der Vermessung und Verlochsteinung werden außer dem Bergwerkseigentümer die Vertreter der angrenzenden Bergwerke und die Besitzer der Grundstücke, auf denen Lochsteine zu setzen sind, zugezogen.</w:t>
      </w:r>
    </w:p>
    <w:p>
      <w:r>
        <w:t xml:space="preserve">(2) Die Grundbesitzer sind verpflichtet,das Betreten ihrer Grundstücke und das Setzen der Lochsteine gegen vollständigen Ersatz des Schadens zu gestatten.</w:t>
      </w:r>
    </w:p>
    <w:p>
      <w:r>
        <w:t xml:space="preserve">Fünfter Abschnitt</w:t>
      </w:r>
    </w:p>
    <w:p>
      <w:r>
        <w:t xml:space="preserve">Von der Konsolidation</w:t>
      </w:r>
    </w:p>
    <w:p>
      <w:r>
        <w:rPr>
          <w:color w:val="555555"/>
          <w:sz w:val="17"/>
        </w:rPr>
        <w:t xml:space="preserve">Zitiervorschlag: § 40 NW_26481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https://recht.nulegal.eu/gesetze/NW_26481/40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