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Bergwerkseigentümer ist befugt, die amtliche Vermessung und Verlochsteinung des durch die Verleihungsurkunde bestimmten Feldes zu verlangen.</w:t>
      </w:r>
    </w:p>
    <w:p>
      <w:r>
        <w:t xml:space="preserve">(2) Dieselbe Befugnis steht den Eigentümern angrenzender Bergwerke zu.</w:t>
      </w:r>
    </w:p>
    <w:p>
      <w:r>
        <w:t xml:space="preserve">(3) Die Vermessung und Verlochsteinung werden unter Leitung der Bergbehörde durch einen konzessionierten Markscheider oder öffentlich bestellten Vermessungsingenieur ausgeführt.</w:t>
      </w:r>
    </w:p>
    <w:p>
      <w:r>
        <w:t xml:space="preserve">(4) Die Kosten hat der Antragsteller zu tragen.</w:t>
      </w:r>
    </w:p>
    <w:p>
      <w:r>
        <w:rPr>
          <w:color w:val="555555"/>
          <w:sz w:val="17"/>
        </w:rPr>
        <w:t xml:space="preserve">Zitiervorschlag: § 39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