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38c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nach Maßgabe des § 38 b begründete Bergwerkseigentum des Staates an den im § 2 Abs. 1 genannten Mineralien kann in der Weise belastet werden, daß demjenigen, zu dessen Gunsten die Belastung erfolgt, auf Zeit das vererbliche und veräußerliche Recht zusteht, die im § 2 Abs. 1 bezeichneten Mineralien oder einzelne dieser Mineralien innerhalb des auf dem Situationsriß angegebenen Feldes nach den Bestimmungen dieses Gesetzes aufzusuchen und zu gewinnen und alle hierzu erforderlichen Anlagen unter und über Tage zu treffen.</w:t>
      </w:r>
    </w:p>
    <w:p>
      <w:r>
        <w:t xml:space="preserve">(2) Während des Bestehens eines nach Abs. 1 begründeten Gewinnungsrechts finden alle Vorschriften dieses Gesetzes über die Rechte und Pflichten des Bergwerkseigentümers (Bergwerksbesitzers, Bergbautreibenden, Werksbesitzers) mit Ausnahme der §§ 39, 55, 65, 156 bis 162 und 164 mit der Maßgabe Anwendung, daß an die Stelle des Bergwerkseigentümers (Bergwerksbesitzer, Bergbautreibenden, Werksbesitzers) der Gewinnungsberechtigte tritt.</w:t>
      </w:r>
    </w:p>
    <w:p>
      <w:r>
        <w:t xml:space="preserve">(3) Steht ein Gewinnungsrecht der im Abs. 1 bezeichneten Art zwei oder mehreren Mitberechtigten zu, so finden auf die Rechtsverhältnisse der Mitberechtigten die Vorschriften des vierten Titels dieses Gesetzes Anwendung.</w:t>
      </w:r>
    </w:p>
    <w:p>
      <w:r>
        <w:t xml:space="preserve">Vierter Abschnitt</w:t>
      </w:r>
    </w:p>
    <w:p>
      <w:r>
        <w:t xml:space="preserve">Vom Vermessen</w:t>
      </w:r>
    </w:p>
    <w:p>
      <w:r>
        <w:rPr>
          <w:color w:val="555555"/>
          <w:sz w:val="17"/>
        </w:rPr>
        <w:t xml:space="preserve">Zitiervorschlag: § 38c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https://recht.nulegal.eu/gesetze/NW_26481/38c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