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35 findet auch auf solche Bergwerkseigentümer Anwendung, die nach § 55 ein Vorrecht auf die in der veröffentlichten Verleihungsurkunde bezeichneten Mineralien zu haben glauben, sofern dieses Recht nach § 55 nicht schon erloschen, auch über dasselbe nicht bereits in dem Verleihungsverfahren verhandelt und in dem Beschlusse des Oberbergamts (§ 31) entschieden worden ist.</w:t>
      </w:r>
    </w:p>
    <w:p>
      <w:r>
        <w:t xml:space="preserve">(2) Im übrigen werden die Rechte des verliehenen Bergwerkseigentums durch die Aufforderung und Ausschlußwirkung des § 35 nicht betroffen.</w:t>
      </w:r>
    </w:p>
    <w:p>
      <w:r>
        <w:rPr>
          <w:color w:val="555555"/>
          <w:sz w:val="17"/>
        </w:rPr>
        <w:t xml:space="preserve">Zitiervorschlag: § 36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