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Ausfertigung der Verleihungsurkunde werden die beiden Exemplare des Situationsrisses (§ 17) von dem Oberbergamte beglaubigt, erforderlichenfalls aber vorher berichtigt und vervollständigt.</w:t>
      </w:r>
    </w:p>
    <w:p>
      <w:r>
        <w:t xml:space="preserve">(2) Das eine Exemplar des Risses erhält der Bergwerkseigentümer, das andere wird bei der Bergbehörde aufbewahrt.</w:t>
      </w:r>
    </w:p>
    <w:p>
      <w:r>
        <w:rPr>
          <w:color w:val="555555"/>
          <w:sz w:val="17"/>
        </w:rPr>
        <w:t xml:space="preserve">Zitiervorschlag: § 33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