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Bergwerkseigentum wird für Felder verliehen, die, soweit die Örtlichkeit es gestattet, von geraden Linien an der Oberfläche und von senkrechten Ebenen in die ewige Teufe begrenzt werden.</w:t>
      </w:r>
    </w:p>
    <w:p>
      <w:r>
        <w:t xml:space="preserve">(2) Der Flächeninhalt der Felder ist nach der horizontalen Projektion in Quadratmetern festzustellen.</w:t>
      </w:r>
    </w:p>
    <w:p>
      <w:r>
        <w:rPr>
          <w:color w:val="555555"/>
          <w:sz w:val="17"/>
        </w:rPr>
        <w:t xml:space="preserve">Zitiervorschlag: § 26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