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242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Wo in diesem Gesetze eine Frist nach Monaten bestimmt ist, fällt der Ablauf der Frist auf denjenigen Tag des letzten Monats, der durch seine Zahl dem Tage des Anfangs der Frist entspricht. Fehlt dieser Tag in dem letzten Monate, so läuft die Frist mit dem letzten Tage dieses Monats ab.</w:t>
      </w:r>
    </w:p>
    <w:p>
      <w:r>
        <w:rPr>
          <w:color w:val="555555"/>
          <w:sz w:val="17"/>
        </w:rPr>
        <w:t xml:space="preserve">Zitiervorschlag: § 242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