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auf eigenem Grund und Boden oder in seinem eigenen Grubengebäude oder durch Schürfarbeiten, die nach Vorschrift der §§ 3 bis 10 unternommen worden sind, ein Mineral (§ 1) auf seiner natürlichen Ablagerung entdeckt, hat als Finder das Vorrecht vor anderen, nach dem Zeitpunkte seines Fundes eingelegten Mutungen.</w:t>
      </w:r>
    </w:p>
    <w:p>
      <w:r>
        <w:t xml:space="preserve">(2) Der Finder muß jedoch innerhalb einer Woche nach Ablauf des Tages der Entdeckung Mutung einlegen, widrigenfalls sein Vorrecht erlischt.</w:t>
      </w:r>
    </w:p>
    <w:p>
      <w:r>
        <w:rPr>
          <w:color w:val="555555"/>
          <w:sz w:val="17"/>
        </w:rPr>
        <w:t xml:space="preserve">Zitiervorschlag: § 24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