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239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Wenn und solange infolge der Ausführung eines unter den § 235 fallenden Beschlusses Anteile einzelner Gewerken mit Pfandrechten belastet sind, die an die Stelle bisheriger Hypotheken getreten sind, erfolgt die Führung des Gewerkenbuches und die Ausfertigung der Kuxscheine (§§ 103 und 121) durch das Grundbuchamt, welches das Grundbuch über das Bergwerk selbst zu führen hat.</w:t>
      </w:r>
    </w:p>
    <w:p>
      <w:r>
        <w:rPr>
          <w:color w:val="555555"/>
          <w:sz w:val="17"/>
        </w:rPr>
        <w:t xml:space="preserve">Zitiervorschlag: § 239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https://recht.nulegal.eu/gesetze/NW_26481/239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