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238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Verkauf von Kuxscheinen zum Zwecke der Befriedigung bisheriger Hypothekengläubiger erfolgt im Wege der Mobiliarversteigerung ....</w:t>
      </w:r>
    </w:p>
    <w:p>
      <w:r>
        <w:t xml:space="preserve">(2) Der Versteigerungstermin ist allen aus dem Kuxscheine ersichtlichen Realberechtigten bekanntzumachen.</w:t>
      </w:r>
    </w:p>
    <w:p>
      <w:r>
        <w:t xml:space="preserve">(3) Durch den Verkauf erlöschen alle Realansprüche auf den verkauften Anteil.</w:t>
      </w:r>
    </w:p>
    <w:p>
      <w:r>
        <w:t xml:space="preserve">(4) Der erlöste Kaufpreis wird unter die Gläubiger nach der Rangordnung ihrer Forderungen verteilt.</w:t>
      </w:r>
    </w:p>
    <w:p>
      <w:r>
        <w:t xml:space="preserve">(5) ...</w:t>
      </w:r>
    </w:p>
    <w:p>
      <w:r>
        <w:rPr>
          <w:color w:val="555555"/>
          <w:sz w:val="17"/>
        </w:rPr>
        <w:t xml:space="preserve">Zitiervorschlag: § 238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