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235f NW_26481 (Nordrhein-Westfalen)</w:t>
      </w:r>
    </w:p>
    <w:p>
      <w:r>
        <w:rPr>
          <w:color w:val="555555"/>
          <w:sz w:val="18"/>
        </w:rPr>
        <w:t xml:space="preserve">Allgemeines Berggesetz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 Hypothekengläubiger, deren ... Realrecht erst nach dem Tage der Ausgabe des die Bekanntmachung des Beschlusses enthaltenden Amtsblattes oder nach der Eintragung des Vermerkes über den Beschluß im Grundbuch entstanden ist, sind den rechtlichen Folgen des Beschlusses ohne weiteres unterworfen.</w:t>
      </w:r>
    </w:p>
    <w:p>
      <w:r>
        <w:rPr>
          <w:color w:val="555555"/>
          <w:sz w:val="17"/>
        </w:rPr>
        <w:t xml:space="preserve">Zitiervorschlag: § 235f NW_26481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https://recht.nulegal.eu/gesetze/NW_26481/235f</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