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235a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 einen von einer Mehrheit von mindestens drei Vierteln aller Kuxe gefaßten Beschluß kann, soweit nicht vertragliche Vereinbarungen entgegenstehen, jede bereits bestehende Gewerkschaft sich denjenigen Bestimmungen des vierten Titels, welche nach § 227 auf die bestehenden Gewerkschaften keine Anwendung finden, unterwerfen und insbesondere die Zahl der Kuxe auf Einhundert oder Eintausend mit der Wirkung bestimmen, daß die neuen Kuxe zum beweglichen Vermögen gehören.</w:t>
      </w:r>
    </w:p>
    <w:p>
      <w:r>
        <w:t xml:space="preserve">(2) Stehen dieser Einteilung außergewöhnliche Schwierigkeiten entgegen, so kann mit Genehmigung des Ministers für Wirtschaft, Mittelstand und Verkehr ausnahmsweise eine andere Zahl der Kuxe bestimmt werden.</w:t>
      </w:r>
    </w:p>
    <w:p>
      <w:r>
        <w:rPr>
          <w:color w:val="555555"/>
          <w:sz w:val="17"/>
        </w:rPr>
        <w:t xml:space="preserve">Zitiervorschlag: § 235a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https://recht.nulegal.eu/gesetze/NW_26481/235a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