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234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Fällen der §§ 130 bis 132 erfolgt der Verkauf des Anteils im Wege der Zwangsversteigerung und die Zuschreibung des unverkäuflichen Anteils im Grundbuch ....</w:t>
      </w:r>
    </w:p>
    <w:p>
      <w:r>
        <w:rPr>
          <w:color w:val="555555"/>
          <w:sz w:val="17"/>
        </w:rPr>
        <w:t xml:space="preserve">Zitiervorschlag: § 234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https://recht.nulegal.eu/gesetze/NW_26481/234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