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217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Mehrere Umwandlungsanträge, welche auf dasselbe Feld gerichtet sind, begründen für jeden Antragsteller ein gleiches Recht ...</w:t>
      </w:r>
    </w:p>
    <w:p>
      <w:r>
        <w:t xml:space="preserve">(2) Bei einem solchen Zusammentreffen bildet, soweit eine vertragliche Einigung nicht zu erzielen ist, die Teilung in gleiche Teile die Regel.</w:t>
      </w:r>
    </w:p>
    <w:p>
      <w:r>
        <w:t xml:space="preserve">(3) Das Oberbergamt ist jedoch befugt, bei der Verleihung von diesem Teilungsverhältnisse abzuweichen, soweit dies für einen zweckmäßigen Betrieb erforderlich ist.</w:t>
      </w:r>
    </w:p>
    <w:p>
      <w:r>
        <w:rPr>
          <w:color w:val="555555"/>
          <w:sz w:val="17"/>
        </w:rPr>
        <w:t xml:space="preserve">Zitiervorschlag: § 217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