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215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Felder der bei Inkrafttreten dieses Gesetzes eingelegten Mutungen und bestehenden Bergwerke sind nach Maßgabe desselben (§§ 26 ff.) auf Antrag des Berechtigten, wenn sie gestreckte sind, in Geviertfelder umzuwandeln ...</w:t>
      </w:r>
    </w:p>
    <w:p>
      <w:r>
        <w:t xml:space="preserve">(2) Ein solcher Antrag gilt in Beziehung auf das begehrte freie Feld als Mutung.</w:t>
      </w:r>
    </w:p>
    <w:p>
      <w:r>
        <w:t xml:space="preserve">(3) Bei konsolidierten Bergwerken kann der Antrag für jedes einzelne Feld gestellt werden.</w:t>
      </w:r>
    </w:p>
    <w:p>
      <w:r>
        <w:t xml:space="preserve">(4) ...</w:t>
      </w:r>
    </w:p>
    <w:p>
      <w:r>
        <w:rPr>
          <w:color w:val="555555"/>
          <w:sz w:val="17"/>
        </w:rPr>
        <w:t xml:space="preserve">Zitiervorschlag: § 215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