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214d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Wird ein Dachschiefer-, Traß- oder Basaltlavabruch in den linksrheinischen Landesteilen von mehreren Personen gemeinschaftlich betrieben, so finden die Bestimmungen des § 211 c entsprechende Anwendung.</w:t>
      </w:r>
    </w:p>
    <w:p>
      <w:r>
        <w:t xml:space="preserve">Elfter Titel</w:t>
      </w:r>
    </w:p>
    <w:p>
      <w:r>
        <w:t xml:space="preserve">Übergangsbestimmungen</w:t>
      </w:r>
    </w:p>
    <w:p>
      <w:r>
        <w:rPr>
          <w:color w:val="555555"/>
          <w:sz w:val="17"/>
        </w:rPr>
        <w:t xml:space="preserve">Zitiervorschlag: § 214d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https://recht.nulegal.eu/gesetze/NW_26481/214d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