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214a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Auf alle im § 214 bezeichneten Dachschiefer-, Traß- und Basaltlavabrüche finden folgende Vorschriften dieses Gesetzes Anwendung:</w:t>
      </w:r>
    </w:p>
    <w:p>
      <w:r>
        <w:t xml:space="preserve">1. aus Titel III Abschnitt 1 ,,Von dem Bergwerkseigentum im allgemeinen" die §§ 58 und 59;</w:t>
      </w:r>
    </w:p>
    <w:p>
      <w:r>
        <w:t xml:space="preserve">2. ...;</w:t>
      </w:r>
    </w:p>
    <w:p>
      <w:r>
        <w:t xml:space="preserve">3. Titel VIII ,,Von den Bergbehörden";</w:t>
      </w:r>
    </w:p>
    <w:p>
      <w:r>
        <w:t xml:space="preserve">4. Titel IX ,,Von der Bergaufsicht";</w:t>
      </w:r>
    </w:p>
    <w:p>
      <w:r>
        <w:t xml:space="preserve">5. aus dem Titel XII ,,Schlußbestimmungen" der § 242.</w:t>
      </w:r>
    </w:p>
    <w:p>
      <w:r>
        <w:rPr>
          <w:color w:val="555555"/>
          <w:sz w:val="17"/>
        </w:rPr>
        <w:t xml:space="preserve">Zitiervorschlag: § 214a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https://recht.nulegal.eu/gesetze/NW_26481/214a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