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Versuchsarbeiten, welche der Muter etwa noch vor der Verleihung ausführt, unterliegen den Vorschriften der §§ 3 bis 11.</w:t>
      </w:r>
    </w:p>
    <w:p>
      <w:r>
        <w:t xml:space="preserve">Dritter Abschnitt</w:t>
      </w:r>
    </w:p>
    <w:p>
      <w:r>
        <w:t xml:space="preserve">Vom Verleihen</w:t>
      </w:r>
    </w:p>
    <w:p>
      <w:r>
        <w:rPr>
          <w:color w:val="555555"/>
          <w:sz w:val="17"/>
        </w:rPr>
        <w:t xml:space="preserve">Zitiervorschlag: § 21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