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209a NW_26481 (Nordrhein-Westfalen) — 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Bergämter verfolgen strafbare Handlungen nach § 208. Die Vorschrift des § 163 StPO gilt entsprechend.</w:t>
      </w:r>
    </w:p>
    <w:p>
      <w:r>
        <w:t xml:space="preserve">Zehnter Titel</w:t>
      </w:r>
    </w:p>
    <w:p>
      <w:r>
        <w:t xml:space="preserve">Besondere Bestimmungen</w:t>
      </w:r>
    </w:p>
    <w:p>
      <w:r>
        <w:t xml:space="preserve">§§ 210, 211</w:t>
      </w:r>
    </w:p>
    <w:p>
      <w:r>
        <w:rPr>
          <w:color w:val="555555"/>
          <w:sz w:val="17"/>
        </w:rPr>
        <w:t xml:space="preserve">Zitiervorschlag: § 209a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https://recht.nulegal.eu/gesetze/NW_26481/209a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