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206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Sämtliche Kosten für die Ausführung der im § 205 bezeichneten Maßregeln trägt der Besitzer des betreffenden Bergwerks, vorbehaltlich des Rückgriffanspruchs gegen Dritte, welche den Unglücksfall verschuldet haben.</w:t>
      </w:r>
    </w:p>
    <w:p>
      <w:r>
        <w:t xml:space="preserve">Dritter Abschnitt</w:t>
      </w:r>
    </w:p>
    <w:p>
      <w:r>
        <w:t xml:space="preserve">Straftaten und Ordnungswidrigkeiten</w:t>
      </w:r>
    </w:p>
    <w:p>
      <w:r>
        <w:rPr>
          <w:color w:val="555555"/>
          <w:sz w:val="17"/>
        </w:rPr>
        <w:t xml:space="preserve">Zitiervorschlag: § 206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https://recht.nulegal.eu/gesetze/NW_26481/206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