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205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Bergamt ordnet die zur Rettung der verunglückten Personen oder zur Abwendung weiterer Gefahr erforderlichen Maßregeln an.</w:t>
      </w:r>
    </w:p>
    <w:p>
      <w:r>
        <w:t xml:space="preserve">(2) Die zur Ausführung dieser Maßregeln notwendigen Arbeiter und Hilfsmittel hat der Besitzer des Bergwerks zur Verfügung zu stellen.</w:t>
      </w:r>
    </w:p>
    <w:p>
      <w:r>
        <w:t xml:space="preserve">(3) Die Besitzer benachbarter Bergwerke sind zur Hilfeleistung verpflichtet.</w:t>
      </w:r>
    </w:p>
    <w:p>
      <w:r>
        <w:rPr>
          <w:color w:val="555555"/>
          <w:sz w:val="17"/>
        </w:rPr>
        <w:t xml:space="preserve">Zitiervorschlag: § 205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https://recht.nulegal.eu/gesetze/NW_26481/205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