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203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Sobald auf einem Bergwerk eine Gefahr hinsichtlich der in § 196 bezeichneten Gegenstände eintritt, ist dem Bergamt hiervon Anzeige zu machen. Der Bergwerksbesitzer hat Vorsorge zu treffen, daß die Anzeige unverzüglich erstattet wird.</w:t>
      </w:r>
    </w:p>
    <w:p>
      <w:r>
        <w:t xml:space="preserve">Zweiter Abschnitt</w:t>
      </w:r>
    </w:p>
    <w:p>
      <w:r>
        <w:t xml:space="preserve">Von dem Verfahren bei Unglücksfällen</w:t>
      </w:r>
    </w:p>
    <w:p>
      <w:r>
        <w:rPr>
          <w:color w:val="555555"/>
          <w:sz w:val="17"/>
        </w:rPr>
        <w:t xml:space="preserve">Zitiervorschlag: § 203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https://recht.nulegal.eu/gesetze/NW_26481/203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