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Feld einer jeden Mutung wird gleich nach Einreichung des Situationsrisses (§ 17) von der Bergbehörde auf die Mutungsübersichtskarte aufgetragen.</w:t>
      </w:r>
    </w:p>
    <w:p>
      <w:r>
        <w:t xml:space="preserve">(2) Die Einsicht in diese Karte ist jedermann gestattet.</w:t>
      </w:r>
    </w:p>
    <w:p>
      <w:r>
        <w:rPr>
          <w:color w:val="555555"/>
          <w:sz w:val="17"/>
        </w:rPr>
        <w:t xml:space="preserve">Zitiervorschlag: § 20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