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Soweit nicht durch Gesetz oder Verordnung Ausnahmen vorgesehen sind, steht die Aufsuchung und Gewinnung folgender Mineralien nur dem Staate zu:</w:t>
      </w:r>
    </w:p>
    <w:p>
      <w:r>
        <w:t xml:space="preserve">a) der Steinkohle;</w:t>
      </w:r>
    </w:p>
    <w:p>
      <w:r>
        <w:t xml:space="preserve">b) des Steinsalzes sowie der Kali-, Magnesia- und Borsalze nebst den mit diesen Salzen auf derselben Lagerstätte vorkommenden Salzen und Solquellen;</w:t>
      </w:r>
    </w:p>
    <w:p>
      <w:r>
        <w:t xml:space="preserve">c)</w:t>
      </w:r>
    </w:p>
    <w:p>
      <w:r>
        <w:t xml:space="preserve">d)</w:t>
      </w:r>
    </w:p>
    <w:p>
      <w:r>
        <w:t xml:space="preserve">e) der Uran- und Thoriumerze.</w:t>
      </w:r>
    </w:p>
    <w:p>
      <w:r>
        <w:t xml:space="preserve">(2) Der Staat kann die Ausbeutung eines Bergwerkes, das ihm im Bereich dieses Vorbehalts verliehen ist, anderen Personen übertragen.</w:t>
      </w:r>
    </w:p>
    <w:p>
      <w:r>
        <w:t xml:space="preserve">Zweiter Titel</w:t>
      </w:r>
    </w:p>
    <w:p>
      <w:r>
        <w:t xml:space="preserve">Von dem Erwerb des Bergwerkseigentums</w:t>
      </w:r>
    </w:p>
    <w:p>
      <w:r>
        <w:t xml:space="preserve">Erster Abschnitt</w:t>
      </w:r>
    </w:p>
    <w:p>
      <w:r>
        <w:t xml:space="preserve">Vom Schürfen</w:t>
      </w:r>
    </w:p>
    <w:p>
      <w:r>
        <w:rPr>
          <w:color w:val="555555"/>
          <w:sz w:val="17"/>
        </w:rPr>
        <w:t xml:space="preserve">Zitiervorschlag: § 2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