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nach oder unter Verzichtleistung auf eine Mutung auf den dieser zugrunde liegenden Fund oder auf einen anderen in demselben Bohrloch oder Schürfschacht aufgeschlossenen Fund desselben Minerals eine neue Mutung eingelegt, so beginnt für letztere der Lauf der im § 18 Abs. 1 bestimmten Frist mit dem Eingang der zuerst eingelegten Mutung. Nach Ablauf von sechs Monaten nach dem Eingang der zuerst eingelegten Mutung kann eine neue Mutung auf denselben Fund oder auf einen in demselben Bohrloch oder Schürfschacht aufgeschlossenen Fund desselben Minerals nicht mehr eingelegt werden.</w:t>
      </w:r>
    </w:p>
    <w:p>
      <w:r>
        <w:t xml:space="preserve">(2) Wird eine Mutung infolge Nichteinhaltung der im § 18 Abs. 1 und 4 bestimmten Fristen von Anfang an ungültig, so kann eine neue Mutung auf denselben Fund oder auf einen in demselben Bohrloch oder Schürfschacht aufgeschlossenen Fund desselben Minerals ebenfalls nicht mehr eingelegt werden.</w:t>
      </w:r>
    </w:p>
    <w:p>
      <w:r>
        <w:rPr>
          <w:color w:val="555555"/>
          <w:sz w:val="17"/>
        </w:rPr>
        <w:t xml:space="preserve">Zitiervorschlag: § 19a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