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Lage und Größe des begehrten Feldes können nur innerhalb der auf dem Situationsrisse (§ 17) angegebenen Grenzen abgeändert werden.</w:t>
      </w:r>
    </w:p>
    <w:p>
      <w:r>
        <w:t xml:space="preserve">(2) Gegen Mutungen Dritter ist das gesetzlich begehrte, auf dem Situationsrisse angegebene Feld einer Mutung für die Dauer ihrer Gültigkeit geschlossen.</w:t>
      </w:r>
    </w:p>
    <w:p>
      <w:r>
        <w:t xml:space="preserve">(3) Diese Wirkung tritt mit dem Zeitpunkte des Eingangs der Mutung ein und wird auf diesen Zeitpunkt auch dann zurückbezogen, wenn der Situationsriß erst später innerhalb der im § 18 vorgeschriebenen Frist eingereicht worden ist.</w:t>
      </w:r>
    </w:p>
    <w:p>
      <w:r>
        <w:rPr>
          <w:color w:val="555555"/>
          <w:sz w:val="17"/>
        </w:rPr>
        <w:t xml:space="preserve">Zitiervorschlag: § 19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