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189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Bergämter bilden innerhalb ihrer Bezirke die erste Instanz in allen Geschäften, die nach diesem Gesetz der Bergbehörde obliegen und nicht ausdrücklich den Oberbergämtern übertragen sind.</w:t>
      </w:r>
    </w:p>
    <w:p>
      <w:r>
        <w:t xml:space="preserve">(2) Sie handhaben insbesondere die Bergaufsicht ... Bezüglich der ihrer Aufsicht unterstehenden Anlagen und Betriebe stehen ihnen... die Befugnisse und Obliegenheiten der im § 139 b der Gewerbeordnung bezeichneten Aufsichtsbeamten zu.</w:t>
      </w:r>
    </w:p>
    <w:p>
      <w:r>
        <w:t xml:space="preserve">(3)</w:t>
      </w:r>
    </w:p>
    <w:p>
      <w:r>
        <w:rPr>
          <w:color w:val="555555"/>
          <w:sz w:val="17"/>
        </w:rPr>
        <w:t xml:space="preserve">Zitiervorschlag: § 189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https://recht.nulegal.eu/gesetze/NW_26481/189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