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164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dem Aufhebungsverfahren bei der Bergbehörde entstehenden Kosten hat der Bergwerkseigentümer zu tragen.</w:t>
      </w:r>
    </w:p>
    <w:p>
      <w:r>
        <w:t xml:space="preserve">Siebenter Titel</w:t>
      </w:r>
    </w:p>
    <w:p>
      <w:r>
        <w:t xml:space="preserve">Von den Knappschaftsvereinen</w:t>
      </w:r>
    </w:p>
    <w:p>
      <w:r>
        <w:t xml:space="preserve">§§ 165-186</w:t>
      </w:r>
    </w:p>
    <w:p>
      <w:r>
        <w:t xml:space="preserve">Achter Titel</w:t>
      </w:r>
    </w:p>
    <w:p>
      <w:r>
        <w:t xml:space="preserve">Von den Bergbehörden</w:t>
      </w:r>
    </w:p>
    <w:p>
      <w:r>
        <w:rPr>
          <w:color w:val="555555"/>
          <w:sz w:val="17"/>
        </w:rPr>
        <w:t xml:space="preserve">Zitiervorschlag: § 164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https://recht.nulegal.eu/gesetze/NW_26481/164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