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161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Erklärt der Eigentümer eines Bergwerks vor der Bergbehörde seinen freiwilligen Verzicht auf das Bergwerk, so wird mit dieser Erklärung wie mit dem in § 158 bezeichneten Beschlusse verfahren.</w:t>
      </w:r>
    </w:p>
    <w:p>
      <w:r>
        <w:t xml:space="preserve">(2) Die den Hypothekengläubigern und anderen Realberechtigten ... im § 159 eingeräumte Befugnis steht ihnen auch in diesem Falle zu; hinsichtlich der Aufhebung des Bergwerkseigentums finden die Bestimmungen des § 160 ebenfalls Anwendung.</w:t>
      </w:r>
    </w:p>
    <w:p>
      <w:r>
        <w:rPr>
          <w:color w:val="555555"/>
          <w:sz w:val="17"/>
        </w:rPr>
        <w:t xml:space="preserve">Zitiervorschlag: § 161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https://recht.nulegal.eu/gesetze/NW_26481/161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