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160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Wird die Zwangsversteigerung nicht beantragt oder führt sie nicht zu dem Verkauf des Bergwerks, so spricht das Oberbergamt durch einen Beschluß die Aufhebung des Bergwerkseigentums aus.</w:t>
      </w:r>
    </w:p>
    <w:p>
      <w:r>
        <w:t xml:space="preserve">(2) Mit dieser Aufhebung erlöschen alle Ansprüche auf das Bergwerk. Die Haftung nach den §§ 148 bis 152 bleibt jedoch bestehen, auch wenn der Schaden erst nach Aufhebung des Bergwerkseigentums eintritt.</w:t>
      </w:r>
    </w:p>
    <w:p>
      <w:r>
        <w:rPr>
          <w:color w:val="555555"/>
          <w:sz w:val="17"/>
        </w:rPr>
        <w:t xml:space="preserve">Zitiervorschlag: § 160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https://recht.nulegal.eu/gesetze/NW_26481/160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