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156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Stellt die Bergbehörde fest, daß ein Bergwerkseigentümer die gemäß § 65 an ihn erlassene Aufforderung zur Inbetriebnahme des Bergwerks oder zur Fortsetzung des unterbrochenen Betriebs nicht befolgt, so kann das Oberbergamt die Einleitung des Verfahrens wegen Entziehung des Bergwerkseigentums durch einen Beschluß aussprechen.</w:t>
      </w:r>
    </w:p>
    <w:p>
      <w:r>
        <w:rPr>
          <w:color w:val="555555"/>
          <w:sz w:val="17"/>
        </w:rPr>
        <w:t xml:space="preserve">Zitiervorschlag: § 156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https://recht.nulegal.eu/gesetze/NW_26481/156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