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154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War der Bergbautreibende zu dem Bergwerksbetriebe früher berechtigt, als die Genehmigung der Anlage (§ 153) erteilt ist, so hat er gegen den Unternehmer der Anlage einen Anspruch auf Schadensersatz. Ein Schaden ist nur insoweit zu ersetzen, als entweder die Herstellung sonst nicht erforderlicher Anlagen in dem Bergwerke oder die sonst nicht erforderliche Beseitigung oder Veränderung bereits in dem Bergwerke vorhandener Anlagen notwendig wird.</w:t>
      </w:r>
    </w:p>
    <w:p>
      <w:r>
        <w:t xml:space="preserve">(2) Können die Beteiligten sich über die zu leistende Entschädigung nicht gütlich einigen, so erfolgt ihre Festsetzung nach Anhörung beider Teile und mit Vorbehalt des Rechtsweges durch einen Beschluß des Oberbergamts, welcher vorläufig vollstreckbar ist.</w:t>
      </w:r>
    </w:p>
    <w:p>
      <w:r>
        <w:rPr>
          <w:color w:val="555555"/>
          <w:sz w:val="17"/>
        </w:rPr>
        <w:t xml:space="preserve">Zitiervorschlag: § 154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