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Beschädigungen des Grundeigentums oder seiner Zubehörungen durch die von Schürfern und Mutern ausgeführten Arbeiten finden die §§ 148 bis 151 ebenfalls Anwendung.</w:t>
      </w:r>
    </w:p>
    <w:p>
      <w:r>
        <w:t xml:space="preserve">Dritter Abschnitt</w:t>
      </w:r>
    </w:p>
    <w:p>
      <w:r>
        <w:t xml:space="preserve">Von dem Verhältnisse des Bergbaues</w:t>
      </w:r>
    </w:p>
    <w:p>
      <w:r>
        <w:t xml:space="preserve">zu öffentlichen Verkehrsanstalten</w:t>
      </w:r>
    </w:p>
    <w:p>
      <w:r>
        <w:rPr>
          <w:color w:val="555555"/>
          <w:sz w:val="17"/>
        </w:rPr>
        <w:t xml:space="preserve">Zitiervorschlag: § 152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https://recht.nulegal.eu/gesetze/NW_26481/152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