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148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Bergwerkseigentümer ist verpflichtet, allen Schaden, welcher dem Grundeigentum, dessen Bestandteilen oder Zubehör durch den Betrieb des Bergwerkes zugefügt wird, zu ersetzen, ohne Unterschied, ob der Betrieb unter dem beschädigten Grundstück stattgefunden hat oder nicht, ob die Beschädigung von dem Bergwerkseigentümer verschuldet ist und ob sie vorausgesehen werden konnte oder nicht. Geht das Bergwerkseigentum auf einen anderen über, so bleibt die Haftung des bisherigen Bergwerkseigentümers bestehen, es sei denn, daß sein Betrieb für den Schaden nicht ursächlich ist. Wird der Betrieb nicht vom Bergwerkseigentümer, sondern für Rechnung eines anderen (Betreiber) geführt, so haftet dieser neben dem Bergwerkseigentümer, jedoch nicht im weiteren Umfang als dieser selbst. Die Haftung des Betreibers bleibt auch nach Einstellung des Betriebes oder bei Fortführung des Betriebes durch einen anderen bestehen, es sei denn, daß sein Betrieb für den Schaden nicht ursächlich ist.</w:t>
      </w:r>
    </w:p>
    <w:p>
      <w:r>
        <w:t xml:space="preserve">(2) Die nach Absatz 1 Verpflichteten haften als Gesamtschuldner.</w:t>
      </w:r>
    </w:p>
    <w:p>
      <w:r>
        <w:t xml:space="preserve">(3) Den Hypotheken-Grund- und Rentenschuldgläubigern wird eine besondere Entschädigung nicht gewährt.</w:t>
      </w:r>
    </w:p>
    <w:p>
      <w:r>
        <w:rPr>
          <w:color w:val="555555"/>
          <w:sz w:val="17"/>
        </w:rPr>
        <w:t xml:space="preserve">Zitiervorschlag: § 148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