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des Grundabtretungsverfahrens hat für die erste Instanz der Bergwerksbesitzer, für die Beschwerdeinstanz der unterliegende Teil zu tragen.</w:t>
      </w:r>
    </w:p>
    <w:p>
      <w:r>
        <w:t xml:space="preserve">Zweiter Abschnitt</w:t>
      </w:r>
    </w:p>
    <w:p>
      <w:r>
        <w:t xml:space="preserve">Von dem Schadensersatze für</w:t>
      </w:r>
    </w:p>
    <w:p>
      <w:r>
        <w:t xml:space="preserve">Beschädigungen des Grundeigentums</w:t>
      </w:r>
    </w:p>
    <w:p>
      <w:r>
        <w:rPr>
          <w:color w:val="555555"/>
          <w:sz w:val="17"/>
        </w:rPr>
        <w:t xml:space="preserve">Zitiervorschlag: § 147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