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145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Gegen die Festsetzung der Entschädigung und der Sicherheitsleistung findet nur die Klage vor den ordentlichen Gerichten statt.</w:t>
      </w:r>
    </w:p>
    <w:p>
      <w:r>
        <w:t xml:space="preserve">(2) Über die Verpflichtung zur Abtretung eines Grundstücks ist der Rechtsweg nur in dem Falle zulässig, wenn die Befreiung von dieser Verpflichtung auf Grund des zweiten Absatzes des § 136 oder eines speziellen Rechtstitels behauptet wird.</w:t>
      </w:r>
    </w:p>
    <w:p>
      <w:r>
        <w:rPr>
          <w:color w:val="555555"/>
          <w:sz w:val="17"/>
        </w:rPr>
        <w:t xml:space="preserve">Zitiervorschlag: § 145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https://recht.nulegal.eu/gesetze/NW_26481/145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