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143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Vor der Entscheidung müssen beide Teile gehört und die Verhältnisse durch Kommissare der beiden Behörden an Ort und Stelle untersucht werden.</w:t>
      </w:r>
    </w:p>
    <w:p>
      <w:r>
        <w:t xml:space="preserve">(2) Die Ermittlung der für die vorübergehende Benutzung des Grundstücks oder für die Abtretung des Eigentums zu leistenden vollständigen Entschädigung sowie der im § 137 erwähnten Sicherheitsleistung liegt beim Mangel einer gütlichen Einigung der Beteiligten ebenfalls den Kommissaren ob.</w:t>
      </w:r>
    </w:p>
    <w:p>
      <w:r>
        <w:t xml:space="preserve">(3) Zu dieser Ermittlung sind Sachverständige zuzuziehen.</w:t>
      </w:r>
    </w:p>
    <w:p>
      <w:r>
        <w:t xml:space="preserve">(4) Jeder Teil ist berechtigt, einen Sachverständigen zu bezeichnen. Geschieht dies binnen einer von den Kommissaren zu bestimmenden Frist nicht, so ernennen diese die Sachverständigen.</w:t>
      </w:r>
    </w:p>
    <w:p>
      <w:r>
        <w:t xml:space="preserve">(5) In jedem Falle können die Kommissare einen dritten Sachverständigen zuziehen.</w:t>
      </w:r>
    </w:p>
    <w:p>
      <w:r>
        <w:rPr>
          <w:color w:val="555555"/>
          <w:sz w:val="17"/>
        </w:rPr>
        <w:t xml:space="preserve">Zitiervorschlag: § 143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