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131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Verkauf des Anteils erfolgt im Wege der Mobiliarversteigerung.</w:t>
      </w:r>
    </w:p>
    <w:p>
      <w:r>
        <w:t xml:space="preserve">(2) Aus dem Erlös werden zunächst die Verkaufskosten und sodann die geschuldeten Beiträge gezahlt.</w:t>
      </w:r>
    </w:p>
    <w:p>
      <w:r>
        <w:t xml:space="preserve">(3) Ist der Anteil unverkäuflich, so wird er den anderen Gewerken nach Verhältnis ihrer Anteile in ganzen Kuxen, soweit dies aber nicht möglich ist, der Gewerkschaft als solcher im Gewerkenbuche lastenfrei zugeschrieben.</w:t>
      </w:r>
    </w:p>
    <w:p>
      <w:r>
        <w:rPr>
          <w:color w:val="555555"/>
          <w:sz w:val="17"/>
        </w:rPr>
        <w:t xml:space="preserve">Zitiervorschlag: § 131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131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