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Mutung ist schriftlich in zwei gleichlautenden Exemplaren einzulegen.</w:t>
      </w:r>
    </w:p>
    <w:p>
      <w:r>
        <w:t xml:space="preserve">(2) Jedes Exemplar wird mit Tag und Stunde des Eingangs versehen und sodann ein Exemplar dem Muter zurückgegeben.</w:t>
      </w:r>
    </w:p>
    <w:p>
      <w:r>
        <w:t xml:space="preserve">(3) Die Mutung kann bei der zur Annahme derselben befugten Behörde zur Niederschrift erklärt werden.</w:t>
      </w:r>
    </w:p>
    <w:p>
      <w:r>
        <w:rPr>
          <w:color w:val="555555"/>
          <w:sz w:val="17"/>
        </w:rPr>
        <w:t xml:space="preserve">Zitiervorschlag: § 13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