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127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Bergbehörde kann eine Gewerkschaft auffordern, binnen drei Monaten einen Repräsentanten oder einen Grubenvorstand zu bestellen.</w:t>
      </w:r>
    </w:p>
    <w:p>
      <w:r>
        <w:t xml:space="preserve">(2) Wird dieser Aufforderung nicht entsprochen, so kann die Bergbehörde, bis dies geschieht, einen Repräsentanten bestellen und diesem eine angemessene, von der Gewerkschaft aufzubringende und nötigenfalls im Verwaltungszwangsverfahren einzuziehende Vergütung zusichern.</w:t>
      </w:r>
    </w:p>
    <w:p>
      <w:r>
        <w:t xml:space="preserve">(3) Der interimistische Repräsentant hat die in den §§ 119 bis 123 bestimmten Rechte und Pflichten, sofern die Bergbehörde keine Beschränkung eintreten läßt.</w:t>
      </w:r>
    </w:p>
    <w:p>
      <w:r>
        <w:rPr>
          <w:color w:val="555555"/>
          <w:sz w:val="17"/>
        </w:rPr>
        <w:t xml:space="preserve">Zitiervorschlag: § 127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127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