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Repräsentant oder die Mitglieder des Grubenvorstandes sind aus den von ihnen im Namen der Gewerkschaft vorgenommenen Rechtshandlungen Dritten gegenüber für die Verbindlichkeiten der Gewerkschaft persönlich nicht verpflichtet.</w:t>
      </w:r>
    </w:p>
    <w:p>
      <w:r>
        <w:t xml:space="preserve">(2) Handeln dieselben außerhalb der Grenzen ihres Auftrages oder den Vorschriften dieses Titels entgegen, so haften sie persönlich beziehungsweise gesamtschuldnerisch für den dadurch entstandenen Schaden.</w:t>
      </w:r>
    </w:p>
    <w:p>
      <w:r>
        <w:rPr>
          <w:color w:val="555555"/>
          <w:sz w:val="17"/>
        </w:rPr>
        <w:t xml:space="preserve">Zitiervorschlag: § 126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