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122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Repräsentant oder Grubenvorstand beruft die Gewerkenversammlungen.</w:t>
      </w:r>
    </w:p>
    <w:p>
      <w:r>
        <w:t xml:space="preserve">(2) Er muß, wenn das Bergwerk im Betriebe ist, jährlich eine Gewerkenversammlung berufen und ihr eine vollständig belegte Verwaltungsrechnung vorlegen.</w:t>
      </w:r>
    </w:p>
    <w:p>
      <w:r>
        <w:t xml:space="preserve">(3) Der Repräsentant ist zur Berufung einer Gewerkenversammlung verpflichtet, wenn dies die Eigentümer von wenigstens einem Viertel aller Kuxe verlangen. Unterläßt er die Berufung, so erfolgt sie auf Antrag durch die Bergbehörde.</w:t>
      </w:r>
    </w:p>
    <w:p>
      <w:r>
        <w:t xml:space="preserve">(4) Zur Vornahme der Wahl eines Repräsentanten oder Grubenvorstandes oder zur Beschlußfassung über den Widerruf der Bestellung kann die Bergbehörde auf Antrag eine Gewerkenversammlung berufen.</w:t>
      </w:r>
    </w:p>
    <w:p>
      <w:r>
        <w:rPr>
          <w:color w:val="555555"/>
          <w:sz w:val="17"/>
        </w:rPr>
        <w:t xml:space="preserve">Zitiervorschlag: § 122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122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