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120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Repräsentant oder Grubenvorstand bedarf eines besonderen Auftrages der Gewerkenversammlung,</w:t>
      </w:r>
    </w:p>
    <w:p>
      <w:r>
        <w:t xml:space="preserve">1. wenn es sich um Gegenstände handelt, die nur von einer Mehrheit von wenigstens drei Vierteln aller Kuxe oder nur mit Einstimmigkeit beschlossen werden können;</w:t>
      </w:r>
    </w:p>
    <w:p>
      <w:r>
        <w:t xml:space="preserve">2. wenn Beiträge von den Gewerken erhoben werden sollen.</w:t>
      </w:r>
    </w:p>
    <w:p>
      <w:r>
        <w:rPr>
          <w:color w:val="555555"/>
          <w:sz w:val="17"/>
        </w:rPr>
        <w:t xml:space="preserve">Zitiervorschlag: § 120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120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