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119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Repräsentant oder Grubenvorstand vertritt die Gewerkschaft in ihren Angelegenheiten gerichtlich und außergerichtlich.</w:t>
      </w:r>
    </w:p>
    <w:p>
      <w:r>
        <w:t xml:space="preserve">(2) Eine besondere Vollmacht ist nur in den im § 120 bezeichneten Fällen erforderlich.</w:t>
      </w:r>
    </w:p>
    <w:p>
      <w:r>
        <w:t xml:space="preserve">(3) .</w:t>
      </w:r>
    </w:p>
    <w:p>
      <w:r>
        <w:t xml:space="preserve">(4) Beschränkt oder erweitert die Gewerkenversammlung die Befugnisse des Repräsentanten oder Grubenvorstandes, so muß dies in die Legitimation (§ 118) aufgenommen werden.</w:t>
      </w:r>
    </w:p>
    <w:p>
      <w:r>
        <w:rPr>
          <w:color w:val="555555"/>
          <w:sz w:val="17"/>
        </w:rPr>
        <w:t xml:space="preserve">Zitiervorschlag: § 119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119 NW_26481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