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 Gewerkschaft ist verpflichtet, einen im Inlande wohnenden Repräsentanten zu bestellen und der Bergbehörde namhaft zu machen.</w:t>
      </w:r>
    </w:p>
    <w:p>
      <w:r>
        <w:t xml:space="preserve">(2) Statt eines Repräsentanten kann die Gewerkschaft einen aus zwei oder mehr Personen bestehenden Grubenvorstand bestellen.</w:t>
      </w:r>
    </w:p>
    <w:p>
      <w:r>
        <w:t xml:space="preserve">(3) Als Repräsentant oder Mitglieder des Grubenvorstandes können auch Personen bestellt werden, die nicht Gewerken sind.</w:t>
      </w:r>
    </w:p>
    <w:p>
      <w:r>
        <w:rPr>
          <w:color w:val="555555"/>
          <w:sz w:val="17"/>
        </w:rPr>
        <w:t xml:space="preserve">Zitiervorschlag: § 117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