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116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Durch die Erhebung der Klage auf Aufhebung des Gewerkschaftsbeschlusses wird seine Ausführung nicht aufgehalten.</w:t>
      </w:r>
    </w:p>
    <w:p>
      <w:r>
        <w:t xml:space="preserve">(2) Wird der Beschluß aufgehoben, so verliert er erst von der Rechtskraft der richterlichen Entscheidung an seine rechtliche Wirksamkeit.</w:t>
      </w:r>
    </w:p>
    <w:p>
      <w:r>
        <w:t xml:space="preserve">(3) Diese Bestimmungen finden keine Anwendung, wenn der Beschluß die im § 120 bezeichneten Gegenstände betrifft.</w:t>
      </w:r>
    </w:p>
    <w:p>
      <w:r>
        <w:rPr>
          <w:color w:val="555555"/>
          <w:sz w:val="17"/>
        </w:rPr>
        <w:t xml:space="preserve">Zitiervorschlag: § 116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